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38" w:rsidRPr="00970DA7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119D" w:rsidRPr="00AD7495" w:rsidRDefault="00AD7495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7495">
        <w:rPr>
          <w:rFonts w:ascii="Times New Roman" w:hAnsi="Times New Roman" w:cs="Times New Roman"/>
          <w:b/>
          <w:bCs/>
          <w:sz w:val="24"/>
          <w:szCs w:val="24"/>
        </w:rPr>
        <w:t>ORDENANZA Nº 107</w:t>
      </w:r>
      <w:r w:rsidR="00A94A6E" w:rsidRPr="00AD74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C119D" w:rsidRPr="00AD7495">
        <w:rPr>
          <w:rFonts w:ascii="Times New Roman" w:hAnsi="Times New Roman" w:cs="Times New Roman"/>
          <w:b/>
          <w:bCs/>
          <w:sz w:val="24"/>
          <w:szCs w:val="24"/>
        </w:rPr>
        <w:t>HCDPF-2022</w:t>
      </w:r>
    </w:p>
    <w:p w:rsidR="008868F7" w:rsidRPr="00AD7495" w:rsidRDefault="008868F7" w:rsidP="008868F7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 xml:space="preserve">Potrero de los Funes </w:t>
      </w:r>
      <w:r w:rsidR="00970DA7" w:rsidRPr="00AD7495">
        <w:rPr>
          <w:rFonts w:ascii="Times New Roman" w:hAnsi="Times New Roman" w:cs="Times New Roman"/>
          <w:sz w:val="24"/>
          <w:szCs w:val="24"/>
        </w:rPr>
        <w:t>21</w:t>
      </w:r>
      <w:r w:rsidR="002C4729" w:rsidRPr="00AD7495">
        <w:rPr>
          <w:rFonts w:ascii="Times New Roman" w:hAnsi="Times New Roman" w:cs="Times New Roman"/>
          <w:sz w:val="24"/>
          <w:szCs w:val="24"/>
        </w:rPr>
        <w:t xml:space="preserve"> de septiembre</w:t>
      </w:r>
      <w:r w:rsidRPr="00AD7495">
        <w:rPr>
          <w:rFonts w:ascii="Times New Roman" w:hAnsi="Times New Roman" w:cs="Times New Roman"/>
          <w:sz w:val="24"/>
          <w:szCs w:val="24"/>
        </w:rPr>
        <w:t xml:space="preserve"> de 2022</w:t>
      </w:r>
    </w:p>
    <w:p w:rsidR="008F4AE2" w:rsidRPr="00AD7495" w:rsidRDefault="008F4AE2" w:rsidP="008F4AE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95" w:rsidRPr="00AD7495" w:rsidRDefault="00AD7495" w:rsidP="00AD7495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s-AR"/>
        </w:rPr>
      </w:pPr>
      <w:r w:rsidRPr="00AD7495">
        <w:rPr>
          <w:rFonts w:ascii="Times New Roman" w:hAnsi="Times New Roman" w:cs="Times New Roman"/>
          <w:b/>
          <w:sz w:val="24"/>
          <w:szCs w:val="24"/>
          <w:u w:val="single"/>
          <w:lang w:eastAsia="es-AR"/>
        </w:rPr>
        <w:t>RATIFICACION ORDENANZA Nº 104-HCDPF-2022</w:t>
      </w:r>
    </w:p>
    <w:p w:rsid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b/>
          <w:sz w:val="24"/>
          <w:szCs w:val="24"/>
          <w:lang w:eastAsia="es-AR"/>
        </w:rPr>
        <w:t>VISTO: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  <w:t>El veto dispuesto por el Ejecutivo Municipal mediante Decreto Nº 31-IMPF/20222 contra la Ordenanza Nº 104-HCDPF-2022;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b/>
          <w:sz w:val="24"/>
          <w:szCs w:val="24"/>
          <w:lang w:eastAsia="es-AR"/>
        </w:rPr>
        <w:t>Y CONSIDERANDO: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  <w:t>Que claramente una Ordenanza es un acto normativo que, dicta el Concejo Deliberante, que el hecho al que se refiere esta ordenanza en particular es de notable interés general y permanente para la población.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  <w:t xml:space="preserve">Que el Departamento Ejecutivo intentó poner la mirada en otros temas y no en lo que realmente se discutía en esos días, que simplemente era la aplicación de las leyes vigentes para todos de la misma manera y cumpliendo con el principio de igualdad ante la ley. 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  <w:t>Que con claridad la ley IX 0325-2004 establece en sus dos primeros artículos lo siguiente: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>ARTICULO1º DECLARESE "Monumento Ecológico y Cultural" al Dique Potrero de los Funes y sus zonas aledañas.-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>ARTICULO2º PROHIBESE todo tipo de actividad acuática que implique el uso de combustibles o que produzca efluentes contaminantes que atenten contra el sistema ecológico y cultural del Dique Potrero de los Funes y sus zonas aledañas.-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  <w:t>Que, en los considerandos del veto, confunde la distinción entre “lago” y “embalse”.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  <w:t>Que las autoridades de aplicación, deben aplicar reglamentos y resoluciones, pero las mismas no pueden modificar o violar leyes, que como bien sabrá el Departamento Ejecutivo las leyes son modificadas o derogadas por otras leyes y no por simples resoluciones de autoridades de aplicación.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  <w:t>Que siempre es facultad del Departamento Ejecutivo habilitar o no las actividades que sucedan en el ejido municipal independientemente de la titularidad de la tierra o del inmueble en el que se desarrolle dicha actividad.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  <w:t>Que es obligación de los funcionarios públicos cumplir y hacer cumplir la ley.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</w:r>
      <w:r w:rsidRPr="00AD7495">
        <w:rPr>
          <w:rFonts w:ascii="Times New Roman" w:hAnsi="Times New Roman" w:cs="Times New Roman"/>
          <w:sz w:val="24"/>
          <w:szCs w:val="24"/>
        </w:rPr>
        <w:tab/>
        <w:t>Que al solo efecto de no dejar un antecedente disparatado sobre estas cuestiones que Departamento Ejecutivo parece no comprender y atendiendo que finalmente el Poder Ejecutivo Provincial, entendió la gravedad de lo que estaba proponiendo y suspendió dicho evento.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ab/>
        <w:t xml:space="preserve">Que </w:t>
      </w:r>
      <w:r w:rsidRPr="00AD7495">
        <w:rPr>
          <w:rFonts w:ascii="Times New Roman" w:hAnsi="Times New Roman" w:cs="Times New Roman"/>
          <w:bCs/>
          <w:sz w:val="24"/>
          <w:szCs w:val="24"/>
        </w:rPr>
        <w:t>corresponde ratificar la validez de la norma vetada, en los términos del último párrafo del inciso 5) del Artículo 261 de nuestra Constitución Provincial y con las mayorías allí indicadas.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95">
        <w:rPr>
          <w:rFonts w:ascii="Times New Roman" w:hAnsi="Times New Roman" w:cs="Times New Roman"/>
          <w:bCs/>
          <w:sz w:val="24"/>
          <w:szCs w:val="24"/>
        </w:rPr>
        <w:tab/>
      </w:r>
      <w:r w:rsidRPr="00AD7495">
        <w:rPr>
          <w:rFonts w:ascii="Times New Roman" w:hAnsi="Times New Roman" w:cs="Times New Roman"/>
          <w:bCs/>
          <w:sz w:val="24"/>
          <w:szCs w:val="24"/>
        </w:rPr>
        <w:tab/>
      </w:r>
      <w:r w:rsidRPr="00AD7495">
        <w:rPr>
          <w:rFonts w:ascii="Times New Roman" w:hAnsi="Times New Roman" w:cs="Times New Roman"/>
          <w:bCs/>
          <w:sz w:val="24"/>
          <w:szCs w:val="24"/>
        </w:rPr>
        <w:tab/>
        <w:t xml:space="preserve">Por ello, 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95" w:rsidRPr="00AD7495" w:rsidRDefault="00AD7495" w:rsidP="00AD7495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EL HONORABLE CONCEJO DELIBERANTE DE LA MUNICIPALIDAD DE POTRERO DE LOS FUNES SANCIONA CON FUERZA DE 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AD74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  <w:t>ORDENANZA:</w:t>
      </w: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95">
        <w:rPr>
          <w:rFonts w:ascii="Times New Roman" w:hAnsi="Times New Roman" w:cs="Times New Roman"/>
          <w:bCs/>
          <w:sz w:val="24"/>
          <w:szCs w:val="24"/>
        </w:rPr>
        <w:t>Artículo 1º:</w:t>
      </w:r>
      <w:r w:rsidRPr="00AD7495">
        <w:rPr>
          <w:rFonts w:ascii="Times New Roman" w:hAnsi="Times New Roman" w:cs="Times New Roman"/>
          <w:bCs/>
          <w:sz w:val="24"/>
          <w:szCs w:val="24"/>
        </w:rPr>
        <w:tab/>
        <w:t xml:space="preserve">RECHAZAR el veto dispuesto por Decreto Nº </w:t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>31-IMPF/20222.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7495">
        <w:rPr>
          <w:rFonts w:ascii="Times New Roman" w:hAnsi="Times New Roman" w:cs="Times New Roman"/>
          <w:bCs/>
          <w:sz w:val="24"/>
          <w:szCs w:val="24"/>
        </w:rPr>
        <w:t>Artículo 2º:</w:t>
      </w:r>
      <w:r w:rsidRPr="00AD7495">
        <w:rPr>
          <w:rFonts w:ascii="Times New Roman" w:hAnsi="Times New Roman" w:cs="Times New Roman"/>
          <w:bCs/>
          <w:sz w:val="24"/>
          <w:szCs w:val="24"/>
        </w:rPr>
        <w:tab/>
        <w:t xml:space="preserve">RATIFICAR en todos sus términos la Ordenanza </w:t>
      </w:r>
      <w:r w:rsidRPr="00AD7495">
        <w:rPr>
          <w:rFonts w:ascii="Times New Roman" w:hAnsi="Times New Roman" w:cs="Times New Roman"/>
          <w:sz w:val="24"/>
          <w:szCs w:val="24"/>
          <w:lang w:eastAsia="es-AR"/>
        </w:rPr>
        <w:t>Nº 104-HCDPF-2022.</w:t>
      </w:r>
    </w:p>
    <w:p w:rsidR="00AD7495" w:rsidRPr="00AD7495" w:rsidRDefault="00AD7495" w:rsidP="00AD7495">
      <w:pPr>
        <w:spacing w:after="12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D7495">
        <w:rPr>
          <w:rFonts w:ascii="Times New Roman" w:hAnsi="Times New Roman" w:cs="Times New Roman"/>
          <w:bCs/>
          <w:sz w:val="24"/>
          <w:szCs w:val="24"/>
        </w:rPr>
        <w:t>Artículo 3º:</w:t>
      </w:r>
      <w:r w:rsidRPr="00AD7495">
        <w:rPr>
          <w:rFonts w:ascii="Times New Roman" w:hAnsi="Times New Roman" w:cs="Times New Roman"/>
          <w:bCs/>
          <w:sz w:val="24"/>
          <w:szCs w:val="24"/>
        </w:rPr>
        <w:tab/>
      </w:r>
      <w:r w:rsidRPr="00AD7495">
        <w:rPr>
          <w:rFonts w:ascii="Times New Roman" w:hAnsi="Times New Roman" w:cs="Times New Roman"/>
          <w:bCs/>
          <w:color w:val="000000"/>
          <w:sz w:val="24"/>
          <w:szCs w:val="24"/>
          <w:lang w:eastAsia="es-AR"/>
        </w:rPr>
        <w:t>Comuníquese, regístrese, publíquese y archívese.</w:t>
      </w:r>
    </w:p>
    <w:p w:rsidR="00AD7495" w:rsidRPr="00AD7495" w:rsidRDefault="00AD7495" w:rsidP="00AD7495">
      <w:pPr>
        <w:shd w:val="clear" w:color="auto" w:fill="FFFFFF"/>
        <w:spacing w:after="120" w:line="360" w:lineRule="auto"/>
        <w:ind w:left="1410" w:hanging="14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s-AR"/>
        </w:rPr>
      </w:pPr>
    </w:p>
    <w:p w:rsidR="00AD7495" w:rsidRPr="00AD7495" w:rsidRDefault="00AD7495" w:rsidP="00AD749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F20" w:rsidRPr="00AD7495" w:rsidRDefault="00906F20" w:rsidP="006B1996">
      <w:pPr>
        <w:rPr>
          <w:rFonts w:ascii="Times New Roman" w:hAnsi="Times New Roman" w:cs="Times New Roman"/>
          <w:sz w:val="24"/>
          <w:szCs w:val="24"/>
        </w:rPr>
      </w:pPr>
    </w:p>
    <w:sectPr w:rsidR="00906F20" w:rsidRPr="00AD7495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D4B" w:rsidRDefault="00703D4B" w:rsidP="00572B35">
      <w:pPr>
        <w:spacing w:after="0" w:line="240" w:lineRule="auto"/>
      </w:pPr>
      <w:r>
        <w:separator/>
      </w:r>
    </w:p>
  </w:endnote>
  <w:endnote w:type="continuationSeparator" w:id="1">
    <w:p w:rsidR="00703D4B" w:rsidRDefault="00703D4B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D4B" w:rsidRDefault="00703D4B" w:rsidP="00572B35">
      <w:pPr>
        <w:spacing w:after="0" w:line="240" w:lineRule="auto"/>
      </w:pPr>
      <w:r>
        <w:separator/>
      </w:r>
    </w:p>
  </w:footnote>
  <w:footnote w:type="continuationSeparator" w:id="1">
    <w:p w:rsidR="00703D4B" w:rsidRDefault="00703D4B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004192"/>
    <w:rsid w:val="0001505B"/>
    <w:rsid w:val="00031E62"/>
    <w:rsid w:val="000A2193"/>
    <w:rsid w:val="001C6042"/>
    <w:rsid w:val="001D039E"/>
    <w:rsid w:val="001D6C12"/>
    <w:rsid w:val="001D7459"/>
    <w:rsid w:val="00212A53"/>
    <w:rsid w:val="00276F9D"/>
    <w:rsid w:val="0028265F"/>
    <w:rsid w:val="00282CEA"/>
    <w:rsid w:val="00293475"/>
    <w:rsid w:val="00295C10"/>
    <w:rsid w:val="002C0643"/>
    <w:rsid w:val="002C4729"/>
    <w:rsid w:val="002D063C"/>
    <w:rsid w:val="002E4EC1"/>
    <w:rsid w:val="00317BB6"/>
    <w:rsid w:val="00324820"/>
    <w:rsid w:val="0037048E"/>
    <w:rsid w:val="00372FA3"/>
    <w:rsid w:val="003C335E"/>
    <w:rsid w:val="003C5CBF"/>
    <w:rsid w:val="003D3C13"/>
    <w:rsid w:val="004142A3"/>
    <w:rsid w:val="0046790D"/>
    <w:rsid w:val="00472E6C"/>
    <w:rsid w:val="00483B0B"/>
    <w:rsid w:val="004D277C"/>
    <w:rsid w:val="004E3CD9"/>
    <w:rsid w:val="005033DC"/>
    <w:rsid w:val="00511A58"/>
    <w:rsid w:val="00572B35"/>
    <w:rsid w:val="00593D28"/>
    <w:rsid w:val="005B14F3"/>
    <w:rsid w:val="005E7581"/>
    <w:rsid w:val="005F590E"/>
    <w:rsid w:val="00610AEC"/>
    <w:rsid w:val="00613B87"/>
    <w:rsid w:val="00635EB9"/>
    <w:rsid w:val="00666E9E"/>
    <w:rsid w:val="006A0FC3"/>
    <w:rsid w:val="006B1996"/>
    <w:rsid w:val="006B6A9B"/>
    <w:rsid w:val="006C3AA0"/>
    <w:rsid w:val="00703D4B"/>
    <w:rsid w:val="00737023"/>
    <w:rsid w:val="0075295F"/>
    <w:rsid w:val="00760FCF"/>
    <w:rsid w:val="00776E52"/>
    <w:rsid w:val="00793063"/>
    <w:rsid w:val="007A46D8"/>
    <w:rsid w:val="007B3E17"/>
    <w:rsid w:val="007B6382"/>
    <w:rsid w:val="007F0212"/>
    <w:rsid w:val="00803679"/>
    <w:rsid w:val="00815DFA"/>
    <w:rsid w:val="008442F3"/>
    <w:rsid w:val="008868F7"/>
    <w:rsid w:val="008C7855"/>
    <w:rsid w:val="008F4AE2"/>
    <w:rsid w:val="00906F20"/>
    <w:rsid w:val="0092112A"/>
    <w:rsid w:val="009228AC"/>
    <w:rsid w:val="009259E4"/>
    <w:rsid w:val="00931B75"/>
    <w:rsid w:val="00970DA7"/>
    <w:rsid w:val="00980781"/>
    <w:rsid w:val="009A33F2"/>
    <w:rsid w:val="009B060B"/>
    <w:rsid w:val="00A00479"/>
    <w:rsid w:val="00A07781"/>
    <w:rsid w:val="00A41658"/>
    <w:rsid w:val="00A51E55"/>
    <w:rsid w:val="00A56C45"/>
    <w:rsid w:val="00A87C63"/>
    <w:rsid w:val="00A94A6E"/>
    <w:rsid w:val="00AA36C2"/>
    <w:rsid w:val="00AB3816"/>
    <w:rsid w:val="00AB62CE"/>
    <w:rsid w:val="00AB70A9"/>
    <w:rsid w:val="00AD7495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6443"/>
    <w:rsid w:val="00C849AF"/>
    <w:rsid w:val="00CB2496"/>
    <w:rsid w:val="00D40AB9"/>
    <w:rsid w:val="00D5513D"/>
    <w:rsid w:val="00D76EBD"/>
    <w:rsid w:val="00D82C8A"/>
    <w:rsid w:val="00DA2D5E"/>
    <w:rsid w:val="00DA3D0C"/>
    <w:rsid w:val="00DD014E"/>
    <w:rsid w:val="00E216E3"/>
    <w:rsid w:val="00E36F73"/>
    <w:rsid w:val="00E56FEE"/>
    <w:rsid w:val="00E75610"/>
    <w:rsid w:val="00E86B3E"/>
    <w:rsid w:val="00EC119D"/>
    <w:rsid w:val="00EC354D"/>
    <w:rsid w:val="00EC53DB"/>
    <w:rsid w:val="00EC689A"/>
    <w:rsid w:val="00EF28C0"/>
    <w:rsid w:val="00F168CA"/>
    <w:rsid w:val="00F33AB7"/>
    <w:rsid w:val="00F64B47"/>
    <w:rsid w:val="00F85635"/>
    <w:rsid w:val="00F93167"/>
    <w:rsid w:val="00FA2D93"/>
    <w:rsid w:val="00FD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2022-01-10T15:24:00Z</cp:lastPrinted>
  <dcterms:created xsi:type="dcterms:W3CDTF">2022-06-15T14:38:00Z</dcterms:created>
  <dcterms:modified xsi:type="dcterms:W3CDTF">2022-09-21T15:19:00Z</dcterms:modified>
</cp:coreProperties>
</file>